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Мектепке дейінгі ұйымдарға</w:t>
        <w:br w:type="textWrapping"/>
        <w:t xml:space="preserve">                                                                                                                                                          және сәбилер үйлеріне</w:t>
        <w:br w:type="textWrapping"/>
        <w:t xml:space="preserve">                                                                                                                                                          қойылатын санитариялық-</w:t>
        <w:br w:type="textWrapping"/>
        <w:t xml:space="preserve">                                                                                                                                                          эпидемиологиялық талаптар"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санитариялық қағидаларына</w:t>
        <w:br w:type="textWrapping"/>
        <w:t xml:space="preserve">                                                                                                                                                           12-қосымша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Жіті инфекциялық аурулармен байланыстарды есепке алу журналы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6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1500"/>
        <w:gridCol w:w="750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tblGridChange w:id="0">
          <w:tblGrid>
            <w:gridCol w:w="675"/>
            <w:gridCol w:w="1500"/>
            <w:gridCol w:w="750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Баланың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тегі, аты</w:t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Тобы</w:t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Ескерту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cтул,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